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:rsidR="007D2A01" w:rsidRPr="005F470E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Федеральный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29.12.2012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273-ФЗ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Постановление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Правительства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31.08.2013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755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</w:t>
      </w:r>
      <w:r w:rsidRPr="005F470E">
        <w:rPr>
          <w:rFonts w:ascii="Times New Roman" w:hAnsi="Times New Roman" w:cs="Times New Roman"/>
          <w:sz w:val="24"/>
          <w:szCs w:val="24"/>
        </w:rPr>
        <w:t>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190/1512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189/1513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июня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831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формату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вносимых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передаваемых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срокам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05.10.2018,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  <w:r>
        <w:t>Конфликтная</w:t>
      </w:r>
      <w:r w:rsidR="00CE3BDE">
        <w:t xml:space="preserve"> </w:t>
      </w:r>
      <w:r>
        <w:t>комиссси</w:t>
      </w:r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Минобрнауки</w:t>
      </w:r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r w:rsidRPr="005F470E">
        <w:t>Минпросвещения</w:t>
      </w:r>
      <w:r w:rsidR="00CE3BDE">
        <w:t xml:space="preserve"> </w:t>
      </w:r>
      <w:r w:rsidRPr="005F470E">
        <w:t>России,</w:t>
      </w:r>
      <w:r w:rsidR="00CE3BDE">
        <w:t xml:space="preserve"> </w:t>
      </w:r>
      <w:r w:rsidRPr="005F470E">
        <w:t>Рособрнадзора,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Pr="005F470E">
        <w:t>Рособрнадзора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позднее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>В личном кабине участника</w:t>
      </w:r>
      <w:r w:rsidR="002C321C" w:rsidRPr="00722137">
        <w:t>»</w:t>
      </w:r>
      <w:r w:rsidR="00FB5380" w:rsidRPr="00722137">
        <w:t xml:space="preserve"> на </w:t>
      </w:r>
      <w:hyperlink r:id="rId8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нарушением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непосредственно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самим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неправильным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заполнением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единого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ЕГЭ)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выпускного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ГВЭ)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рассматривает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листы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бумаги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черновиков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качестве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материалов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DC8">
        <w:rPr>
          <w:rFonts w:ascii="Times New Roman" w:hAnsi="Times New Roman" w:cs="Times New Roman"/>
          <w:sz w:val="24"/>
          <w:szCs w:val="24"/>
        </w:rPr>
        <w:t>1.12.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желанию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уполномоченные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основании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документов,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удостоверяющих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личность,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(образец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 w:cs="Times New Roman"/>
          <w:sz w:val="24"/>
          <w:szCs w:val="24"/>
        </w:rPr>
        <w:t>авлен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приложении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настоящему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 w:cs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DB32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Дагестан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ГЭК)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аккредитованные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общественные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определенные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РД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разъяснения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устного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2A9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предметной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ПК)</w:t>
      </w:r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проверявший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независимые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сурдопереводчики,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тифлопереводчики,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ассистенты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приглашают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графику,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сформированному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ответственным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секретарем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согласованному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журналом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64D59">
        <w:rPr>
          <w:rFonts w:ascii="Times New Roman" w:hAnsi="Times New Roman" w:cs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времени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конфликтная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комиссия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один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1.16.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трех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пересчета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  <w:bookmarkEnd w:id="7"/>
      <w:bookmarkEnd w:id="8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1.18.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КК).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</w:t>
      </w:r>
      <w:r w:rsidR="00A455AC" w:rsidRPr="00D71F93">
        <w:rPr>
          <w:rFonts w:ascii="Times New Roman" w:hAnsi="Times New Roman" w:cs="Times New Roman"/>
          <w:sz w:val="24"/>
          <w:szCs w:val="24"/>
        </w:rPr>
        <w:t>19</w:t>
      </w:r>
      <w:r w:rsidRPr="00D71F93">
        <w:rPr>
          <w:rFonts w:ascii="Times New Roman" w:hAnsi="Times New Roman" w:cs="Times New Roman"/>
          <w:sz w:val="24"/>
          <w:szCs w:val="24"/>
        </w:rPr>
        <w:t>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Срок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31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года.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 w:cs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 w:cs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 w:cs="Times New Roman"/>
          <w:sz w:val="24"/>
          <w:szCs w:val="24"/>
        </w:rPr>
        <w:t>.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1.2</w:t>
      </w:r>
      <w:r w:rsidR="003027D8">
        <w:rPr>
          <w:rFonts w:ascii="Times New Roman" w:hAnsi="Times New Roman" w:cs="Times New Roman"/>
          <w:sz w:val="24"/>
          <w:szCs w:val="24"/>
        </w:rPr>
        <w:t>1</w:t>
      </w:r>
      <w:r w:rsidRPr="00582081">
        <w:rPr>
          <w:rFonts w:ascii="Times New Roman" w:hAnsi="Times New Roman" w:cs="Times New Roman"/>
          <w:sz w:val="24"/>
          <w:szCs w:val="24"/>
        </w:rPr>
        <w:t>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ГЭК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быть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при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этом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0" w:name="_Toc435626893"/>
      <w:bookmarkStart w:id="11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руководство,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координацию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распределение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между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контроль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объективным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исполняет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персональную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рамках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заседаниях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0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1"/>
    </w:p>
    <w:p w:rsidR="00EF7BCF" w:rsidRPr="005F470E" w:rsidRDefault="00EF7BCF" w:rsidP="005F470E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3.2.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целях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функций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запрашивать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получать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организаций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необходимые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числе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электронные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сдававших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ГВЭ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форме,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копии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подавшими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пунктах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ППЭ)</w:t>
      </w:r>
      <w:r w:rsidR="00EF7BCF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соблюдении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Порядка,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видеоматериалы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независимых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 w:cs="Times New Roman"/>
          <w:sz w:val="24"/>
          <w:szCs w:val="24"/>
        </w:rPr>
        <w:t>переводчиков,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07C24" w:rsidRPr="005F470E">
        <w:rPr>
          <w:rFonts w:ascii="Times New Roman" w:hAnsi="Times New Roman" w:cs="Times New Roman"/>
          <w:sz w:val="24"/>
          <w:szCs w:val="24"/>
        </w:rPr>
        <w:t>тифлопереводчиков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инвалидов;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предмету,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присвоен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статус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«ведущий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«старший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являющегося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проверявшим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DB32CC">
        <w:rPr>
          <w:rFonts w:ascii="Times New Roman" w:hAnsi="Times New Roman" w:cs="Times New Roman"/>
          <w:sz w:val="24"/>
          <w:szCs w:val="24"/>
        </w:rPr>
        <w:t>обращаться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 w:cs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2CC" w:rsidRPr="008E4641">
        <w:rPr>
          <w:rFonts w:ascii="Times New Roman" w:hAnsi="Times New Roman" w:cs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РЦОИ</w:t>
      </w:r>
      <w:r w:rsidR="00EF7BCF" w:rsidRPr="008E4641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533868570"/>
      <w:bookmarkStart w:id="13" w:name="_Toc435626894"/>
      <w:r w:rsidRPr="00883B1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определенных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РД.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оборудуют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средствами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видеонаблюдения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FF6C36">
        <w:rPr>
          <w:rFonts w:ascii="Times New Roman" w:hAnsi="Times New Roman" w:cs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 w:cs="Times New Roman"/>
          <w:sz w:val="24"/>
          <w:szCs w:val="24"/>
        </w:rPr>
        <w:t>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аудиозаписи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РД</w:t>
      </w:r>
      <w:r w:rsidR="0097539D">
        <w:rPr>
          <w:rFonts w:ascii="Times New Roman" w:hAnsi="Times New Roman" w:cs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Видеозапись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(аудиозапись)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ведется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период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голосования.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признаются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правомочными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A6B93">
        <w:rPr>
          <w:rFonts w:ascii="Times New Roman" w:hAnsi="Times New Roman" w:cs="Times New Roman"/>
          <w:sz w:val="24"/>
          <w:szCs w:val="24"/>
        </w:rPr>
        <w:t>1/3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равенства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решающим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оформляются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указываются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заверяются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подписями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Отчетными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2-АП-3),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ППЭ-03)</w:t>
      </w:r>
      <w:r w:rsidR="002F7C9E" w:rsidRPr="005F470E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Отчетные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хранятся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F6C36">
        <w:rPr>
          <w:rFonts w:ascii="Times New Roman" w:hAnsi="Times New Roman" w:cs="Times New Roman"/>
          <w:sz w:val="24"/>
          <w:szCs w:val="24"/>
        </w:rPr>
        <w:t>РЦОИ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4"/>
      <w:bookmarkEnd w:id="15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4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Минобрнауки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«ViPNet»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Минобрнауки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«ViPNet»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4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поручению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создаваемые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1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за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РД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или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ГЭК,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работ,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были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ГЭК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(или)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сроки,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–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двух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дней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ГИА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6.4.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перепроверок,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отзыва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проводится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</w:t>
      </w:r>
      <w:r w:rsidR="00CB57A8" w:rsidRPr="005F470E">
        <w:rPr>
          <w:rFonts w:ascii="Times New Roman" w:hAnsi="Times New Roman" w:cs="Times New Roman"/>
          <w:sz w:val="24"/>
          <w:szCs w:val="24"/>
        </w:rPr>
        <w:t>ставленном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разделе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настоящего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Положения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533868573"/>
      <w:bookmarkStart w:id="26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7.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>7.1.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ППЭ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организаторов,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задействованных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аудитории,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сдавал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ассистентов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общественных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наблюдателей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сотрудников,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охрану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медицинских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1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1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аннулируется,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предусмотренный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едиными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расписаниями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изменяется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действующим.</w:t>
      </w:r>
      <w:bookmarkStart w:id="32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A46">
        <w:rPr>
          <w:rFonts w:ascii="Times New Roman" w:hAnsi="Times New Roman" w:cs="Times New Roman"/>
          <w:sz w:val="24"/>
          <w:szCs w:val="24"/>
        </w:rPr>
        <w:t>7.6.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ГЭК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</w:t>
      </w:r>
      <w:r w:rsidR="00BD11DF" w:rsidRPr="00620A46">
        <w:rPr>
          <w:rFonts w:ascii="Times New Roman" w:hAnsi="Times New Roman" w:cs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РЦОИ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или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 w:cs="Times New Roman"/>
          <w:sz w:val="24"/>
          <w:szCs w:val="24"/>
        </w:rPr>
        <w:t>2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дней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 w:cs="Times New Roman"/>
          <w:sz w:val="24"/>
          <w:szCs w:val="24"/>
        </w:rPr>
        <w:t>:</w:t>
      </w:r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данной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содержащий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решение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случаях,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требующих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уточнений,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A937B8" w:rsidRPr="00AD2A90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передает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запрашиваемые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РИС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календарных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момента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принятии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РИС/ФИС,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участник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сдаче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ГЭК.</w:t>
      </w:r>
      <w:bookmarkEnd w:id="32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7"/>
      <w:bookmarkEnd w:id="28"/>
      <w:bookmarkEnd w:id="29"/>
      <w:bookmarkEnd w:id="30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«ViPNet»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«ViPNet»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</w:t>
      </w:r>
      <w:r w:rsidR="001E227C">
        <w:rPr>
          <w:rFonts w:ascii="Times New Roman" w:hAnsi="Times New Roman" w:cs="Times New Roman"/>
          <w:sz w:val="24"/>
          <w:szCs w:val="24"/>
        </w:rPr>
        <w:t>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2-АП)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приложе</w:t>
      </w:r>
      <w:r w:rsidR="001E227C">
        <w:rPr>
          <w:rFonts w:ascii="Times New Roman" w:hAnsi="Times New Roman" w:cs="Times New Roman"/>
          <w:sz w:val="24"/>
          <w:szCs w:val="24"/>
        </w:rPr>
        <w:t>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ходе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2-АП-3);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б)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изображения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г)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электронн</w:t>
      </w:r>
      <w:r w:rsidR="001E227C">
        <w:rPr>
          <w:rFonts w:ascii="Times New Roman" w:hAnsi="Times New Roman" w:cs="Times New Roman"/>
          <w:sz w:val="24"/>
          <w:szCs w:val="24"/>
        </w:rPr>
        <w:t>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иностранным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языкам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апелляционному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комплекту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перечень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допустимых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символов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кратким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7B8">
        <w:rPr>
          <w:rFonts w:ascii="Times New Roman" w:hAnsi="Times New Roman" w:cs="Times New Roman"/>
          <w:sz w:val="24"/>
          <w:szCs w:val="24"/>
        </w:rPr>
        <w:t>вариант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КИМ,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выполнявшийся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27C">
        <w:rPr>
          <w:rFonts w:ascii="Times New Roman" w:hAnsi="Times New Roman" w:cs="Times New Roman"/>
          <w:sz w:val="24"/>
          <w:szCs w:val="24"/>
        </w:rPr>
        <w:t>уведомление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ГИА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</w:t>
      </w:r>
      <w:r w:rsidR="001E227C">
        <w:rPr>
          <w:rFonts w:ascii="Times New Roman" w:hAnsi="Times New Roman" w:cs="Times New Roman"/>
          <w:sz w:val="24"/>
          <w:szCs w:val="24"/>
        </w:rPr>
        <w:t>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направлена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межрегион</w:t>
      </w:r>
      <w:r w:rsidR="001E227C">
        <w:rPr>
          <w:rFonts w:ascii="Times New Roman" w:hAnsi="Times New Roman" w:cs="Times New Roman"/>
          <w:sz w:val="24"/>
          <w:szCs w:val="24"/>
        </w:rPr>
        <w:t>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перекрестную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проверку,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апелляционного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комплекта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r w:rsidR="003527F7">
        <w:rPr>
          <w:b w:val="0"/>
          <w:sz w:val="24"/>
          <w:szCs w:val="24"/>
        </w:rPr>
        <w:t>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9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 xml:space="preserve">и может иметь при себе на апелляции распечатанную с личного кабина экзаменационную работу. </w:t>
      </w:r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0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7775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сохранении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</w:t>
      </w:r>
      <w:r w:rsidR="00BD7775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перерасчете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</w:t>
      </w:r>
      <w:r w:rsidR="00BD7775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(наличие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уменьшения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вследствие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 xml:space="preserve">направляет в МОУО по сети защищенного подключения «ViPNet»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Рособрнадзором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1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0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0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1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1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2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Рособрнадзора.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фактам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назначает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расследование.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Дальнейшее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уведомлением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детей-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 w:cs="Times New Roman"/>
          <w:b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6"/>
      <w:bookmarkEnd w:id="37"/>
      <w:bookmarkEnd w:id="38"/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0B9A" w:rsidRPr="00CD0B9A">
        <w:rPr>
          <w:rFonts w:ascii="Times New Roman" w:hAnsi="Times New Roman" w:cs="Times New Roman"/>
          <w:sz w:val="24"/>
          <w:szCs w:val="24"/>
        </w:rPr>
        <w:t>.</w:t>
      </w:r>
      <w:r w:rsidR="00000EC7" w:rsidRPr="00CD0B9A">
        <w:rPr>
          <w:rFonts w:ascii="Times New Roman" w:hAnsi="Times New Roman" w:cs="Times New Roman"/>
          <w:sz w:val="24"/>
          <w:szCs w:val="24"/>
        </w:rPr>
        <w:t>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_Toc254118171"/>
      <w:bookmarkEnd w:id="43"/>
      <w:bookmarkEnd w:id="44"/>
      <w:bookmarkEnd w:id="45"/>
      <w:r w:rsidR="00000EC7" w:rsidRPr="00CD0B9A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комиссии</w:t>
      </w:r>
      <w:bookmarkEnd w:id="46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254118205"/>
      <w:bookmarkStart w:id="49" w:name="_Toc411955886"/>
      <w:bookmarkStart w:id="50" w:name="_Toc435626900"/>
      <w:bookmarkStart w:id="51" w:name="_Toc533868577"/>
      <w:bookmarkEnd w:id="47"/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2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2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3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3"/>
      <w:r w:rsidR="00556284"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4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4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баллами;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2-АП-3,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ППЭ-03);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5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5"/>
      <w:r w:rsidRPr="005F470E">
        <w:rPr>
          <w:b/>
        </w:rPr>
        <w:t>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6" w:name="_Toc254118177"/>
      <w:bookmarkStart w:id="57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6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8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8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9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0" w:name="_Toc254118182"/>
      <w:bookmarkEnd w:id="59"/>
      <w:r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1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2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7"/>
    <w:bookmarkEnd w:id="61"/>
    <w:bookmarkEnd w:id="62"/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3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3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4" w:name="_Toc254118196"/>
      <w:bookmarkStart w:id="65" w:name="_Toc254118199"/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КК;</w:t>
      </w:r>
      <w:bookmarkEnd w:id="64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2-АП-1,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2-АП-3)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 w:cs="Times New Roman"/>
          <w:sz w:val="24"/>
          <w:szCs w:val="24"/>
        </w:rPr>
        <w:t>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РЦОИ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(если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 w:cs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для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РИС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ФИС;</w:t>
      </w:r>
      <w:bookmarkEnd w:id="65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ГВЭ.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3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8"/>
      <w:bookmarkEnd w:id="49"/>
      <w:bookmarkEnd w:id="50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1"/>
    </w:p>
    <w:p w:rsidR="00556284" w:rsidRPr="005F470E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6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bookmarkStart w:id="71" w:name="_Toc254118207"/>
      <w:bookmarkStart w:id="72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1"/>
      <w:r w:rsidR="00556284" w:rsidRPr="005F470E">
        <w:t>;</w:t>
      </w:r>
      <w:bookmarkStart w:id="73" w:name="_Toc254118209"/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3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4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4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56284" w:rsidRPr="005F470E">
        <w:rPr>
          <w:rFonts w:ascii="Times New Roman" w:hAnsi="Times New Roman" w:cs="Times New Roman"/>
          <w:sz w:val="24"/>
          <w:szCs w:val="24"/>
        </w:rPr>
        <w:t>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обстоятельства,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признаны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несущественными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имеющими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оказали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существенное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влияние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5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5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2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6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6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7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8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8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9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79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0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0"/>
    </w:p>
    <w:p w:rsidR="00477C72" w:rsidRPr="00CD0B9A" w:rsidRDefault="00556284" w:rsidP="000E7B52">
      <w:pPr>
        <w:pStyle w:val="af3"/>
        <w:ind w:left="0" w:firstLine="567"/>
        <w:contextualSpacing/>
        <w:jc w:val="both"/>
      </w:pPr>
      <w:bookmarkStart w:id="81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1"/>
    </w:p>
    <w:p w:rsidR="00000EC7" w:rsidRPr="00CD0B9A" w:rsidRDefault="00075E6F" w:rsidP="000E7B52">
      <w:pPr>
        <w:pStyle w:val="af3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7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8"/>
      <w:bookmarkEnd w:id="69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0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CD0B9A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sz w:val="24"/>
          <w:szCs w:val="24"/>
        </w:rPr>
        <w:t>должен:</w:t>
      </w:r>
      <w:bookmarkStart w:id="86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получить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комплект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(ЕГЭ),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(ГВЭ);</w:t>
      </w:r>
      <w:bookmarkStart w:id="87" w:name="_Toc254118223"/>
      <w:bookmarkEnd w:id="86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предыдущее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работы;</w:t>
      </w:r>
      <w:bookmarkStart w:id="88" w:name="_Toc254118224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письменное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обоснованием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конкретный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выставляемый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затруднений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обратиться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консультацией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назначенному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эксперту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невозможности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оперативно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сообщить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согласованный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порядке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формулируются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возникшие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узнать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секретаря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C1203">
        <w:rPr>
          <w:rFonts w:ascii="Times New Roman" w:hAnsi="Times New Roman" w:cs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КК;</w:t>
      </w:r>
      <w:bookmarkStart w:id="89" w:name="_Toc254118225"/>
      <w:bookmarkEnd w:id="88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апелляции;</w:t>
      </w:r>
      <w:bookmarkStart w:id="90" w:name="_Toc254118226"/>
      <w:bookmarkEnd w:id="89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разъяснения.</w:t>
      </w:r>
      <w:bookmarkEnd w:id="90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3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2"/>
      <w:bookmarkEnd w:id="83"/>
      <w:bookmarkEnd w:id="84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5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1" w:name="_Toc411955890"/>
      <w:bookmarkStart w:id="92" w:name="_Toc435626903"/>
      <w:bookmarkStart w:id="93" w:name="_Toc533868580"/>
      <w:r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4" w:name="_Toc254118228"/>
      <w:r w:rsidRPr="00CD0B9A">
        <w:rPr>
          <w:rFonts w:ascii="Times New Roman" w:hAnsi="Times New Roman" w:cs="Times New Roman"/>
          <w:b/>
          <w:sz w:val="24"/>
          <w:szCs w:val="24"/>
        </w:rPr>
        <w:t>При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подаче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апелляции</w:t>
      </w:r>
      <w:bookmarkEnd w:id="94"/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Порядка:</w:t>
      </w:r>
      <w:bookmarkStart w:id="95" w:name="_Toc254118229"/>
      <w:bookmarkStart w:id="96" w:name="_Toc254118233"/>
    </w:p>
    <w:p w:rsidR="00477C72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7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8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9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9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</w:pPr>
      <w:bookmarkStart w:id="100" w:name="_Toc254118237"/>
      <w:bookmarkEnd w:id="96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0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Минобрнауки</w:t>
      </w:r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3"/>
        <w:ind w:left="-142" w:firstLine="567"/>
        <w:contextualSpacing/>
        <w:jc w:val="both"/>
      </w:pPr>
      <w:bookmarkStart w:id="101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 xml:space="preserve">сети защищенного подключения «ViPNet»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2" w:name="_Toc254118239"/>
      <w:bookmarkEnd w:id="101"/>
      <w:r w:rsidR="0016786F" w:rsidRPr="006A64B4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2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3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 xml:space="preserve">«ViPNet»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3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3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«ViPNet»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4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lastRenderedPageBreak/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4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5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6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7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8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9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0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bookmarkStart w:id="110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1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1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2" w:name="_Toc254118249"/>
      <w:bookmarkStart w:id="113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2"/>
      <w:bookmarkEnd w:id="113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3"/>
        <w:ind w:left="-142" w:firstLine="567"/>
        <w:contextualSpacing/>
        <w:jc w:val="both"/>
      </w:pPr>
      <w:bookmarkStart w:id="114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«ViPNet»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4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5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5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6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6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7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r w:rsidR="00477C72" w:rsidRPr="005F470E">
        <w:t>Рособрнадзором</w:t>
      </w:r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7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C1203">
        <w:rPr>
          <w:rFonts w:ascii="Times New Roman" w:hAnsi="Times New Roman" w:cs="Times New Roman"/>
          <w:sz w:val="24"/>
          <w:szCs w:val="24"/>
        </w:rPr>
        <w:t>10.5.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 w:cs="Times New Roman"/>
          <w:sz w:val="24"/>
          <w:szCs w:val="24"/>
        </w:rPr>
        <w:t>ции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по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ГИА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 w:cs="Times New Roman"/>
          <w:sz w:val="24"/>
          <w:szCs w:val="24"/>
        </w:rPr>
        <w:t>2</w:t>
      </w:r>
      <w:r w:rsidR="00000EC7" w:rsidRPr="008F0E5A">
        <w:rPr>
          <w:rFonts w:ascii="Times New Roman" w:hAnsi="Times New Roman" w:cs="Times New Roman"/>
          <w:sz w:val="24"/>
          <w:szCs w:val="24"/>
        </w:rPr>
        <w:t>АП)</w:t>
      </w:r>
      <w:bookmarkEnd w:id="91"/>
      <w:bookmarkEnd w:id="92"/>
      <w:bookmarkEnd w:id="93"/>
    </w:p>
    <w:p w:rsidR="001F789F" w:rsidRPr="008F0E5A" w:rsidRDefault="001F789F" w:rsidP="008F0E5A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необходимо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рассматривается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(их)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отсутствии</w:t>
      </w:r>
      <w:r w:rsidR="00FC1203">
        <w:rPr>
          <w:rFonts w:ascii="Times New Roman" w:hAnsi="Times New Roman" w:cs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1F789F" w:rsidRPr="005F470E" w:rsidRDefault="001F789F" w:rsidP="008F0E5A">
      <w:pPr>
        <w:pStyle w:val="af3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видеоконференц- связи устно, а подписью слова апеллянта подтверждает член КК) </w:t>
      </w:r>
      <w:r w:rsidRPr="005F470E">
        <w:t>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lastRenderedPageBreak/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отклонена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связи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наличием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включая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каждого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типа,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обнаружены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позиций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суммарное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первичных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большую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меньшую)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3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r w:rsidRPr="005F470E">
        <w:t>Рособрнадзором</w:t>
      </w:r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lastRenderedPageBreak/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E3BDE" w:rsidRDefault="00CE3BDE">
      <w:pPr>
        <w:rPr>
          <w:rFonts w:ascii="Times New Roman" w:hAnsi="Times New Roman" w:cs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Приложение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Положению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3"/>
        <w:ind w:left="-142" w:firstLine="568"/>
        <w:contextualSpacing/>
        <w:jc w:val="both"/>
      </w:pPr>
    </w:p>
    <w:p w:rsidR="001F789F" w:rsidRPr="005F470E" w:rsidRDefault="001F789F" w:rsidP="00432F58">
      <w:pPr>
        <w:pStyle w:val="af3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r w:rsidRPr="005F470E">
        <w:t>Р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для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 w:cs="Times New Roman"/>
          <w:sz w:val="24"/>
          <w:szCs w:val="24"/>
        </w:rPr>
        <w:t>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либо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руки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Pr="007907FC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9D6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80" w:rsidRDefault="00C60E80" w:rsidP="00000EC7">
      <w:pPr>
        <w:spacing w:after="0" w:line="240" w:lineRule="auto"/>
      </w:pPr>
      <w:r>
        <w:separator/>
      </w:r>
    </w:p>
  </w:endnote>
  <w:endnote w:type="continuationSeparator" w:id="0">
    <w:p w:rsidR="00C60E80" w:rsidRDefault="00C60E80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80" w:rsidRDefault="00C60E80" w:rsidP="00000EC7">
      <w:pPr>
        <w:spacing w:after="0" w:line="240" w:lineRule="auto"/>
      </w:pPr>
      <w:r>
        <w:separator/>
      </w:r>
    </w:p>
  </w:footnote>
  <w:footnote w:type="continuationSeparator" w:id="0">
    <w:p w:rsidR="00C60E80" w:rsidRDefault="00C60E80" w:rsidP="00000EC7">
      <w:pPr>
        <w:spacing w:after="0" w:line="240" w:lineRule="auto"/>
      </w:pPr>
      <w:r>
        <w:continuationSeparator/>
      </w:r>
    </w:p>
  </w:footnote>
  <w:footnote w:id="1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000000" w:rsidRDefault="00C60E80" w:rsidP="004639A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473E"/>
    <w:rsid w:val="001E227C"/>
    <w:rsid w:val="001F789F"/>
    <w:rsid w:val="00216A14"/>
    <w:rsid w:val="00221A76"/>
    <w:rsid w:val="00272FA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C6C49"/>
    <w:rsid w:val="005F470E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C14407"/>
    <w:rsid w:val="00C31384"/>
    <w:rsid w:val="00C52150"/>
    <w:rsid w:val="00C60E8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5AF0"/>
    <w:rsid w:val="00E17F55"/>
    <w:rsid w:val="00E24B90"/>
    <w:rsid w:val="00EA2F26"/>
    <w:rsid w:val="00EF7BCF"/>
    <w:rsid w:val="00F40D67"/>
    <w:rsid w:val="00F5179B"/>
    <w:rsid w:val="00F54E15"/>
    <w:rsid w:val="00FA606B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theme="minorBidi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1"/>
    <w:link w:val="a6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link w:val="ae"/>
    <w:uiPriority w:val="99"/>
    <w:semiHidden/>
    <w:rPr>
      <w:rFonts w:cstheme="minorBidi"/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link w:val="aff2"/>
    <w:uiPriority w:val="99"/>
    <w:semiHidden/>
    <w:rPr>
      <w:rFonts w:cstheme="minorBidi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000EC7"/>
    <w:rPr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E71-A07F-427B-8C63-9CE97173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9038</Words>
  <Characters>51521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Музей 3</cp:lastModifiedBy>
  <cp:revision>2</cp:revision>
  <cp:lastPrinted>2020-01-30T06:57:00Z</cp:lastPrinted>
  <dcterms:created xsi:type="dcterms:W3CDTF">2020-07-11T16:25:00Z</dcterms:created>
  <dcterms:modified xsi:type="dcterms:W3CDTF">2020-07-11T16:25:00Z</dcterms:modified>
</cp:coreProperties>
</file>